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  </w:t>
      </w:r>
      <w:r w:rsidRPr="00BA3A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65913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CA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3ACA" w:rsidRDefault="00BA3ACA" w:rsidP="00BA3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8004CC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ACA">
        <w:rPr>
          <w:rFonts w:ascii="Times New Roman" w:hAnsi="Times New Roman" w:cs="Times New Roman"/>
          <w:b/>
          <w:sz w:val="28"/>
          <w:szCs w:val="28"/>
        </w:rPr>
        <w:t xml:space="preserve">2017 года                                                    </w:t>
      </w:r>
      <w:r w:rsidR="008004C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A3ACA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CC">
        <w:rPr>
          <w:rFonts w:ascii="Times New Roman" w:hAnsi="Times New Roman" w:cs="Times New Roman"/>
          <w:b/>
          <w:sz w:val="28"/>
          <w:szCs w:val="28"/>
        </w:rPr>
        <w:t>154</w:t>
      </w:r>
      <w:r w:rsidRPr="00BA3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BA3ACA" w:rsidRPr="00BA3ACA" w:rsidRDefault="00BA3ACA" w:rsidP="00BA3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CA"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proofErr w:type="gramStart"/>
      <w:r w:rsidRPr="00BA3ACA">
        <w:rPr>
          <w:rFonts w:ascii="Times New Roman" w:hAnsi="Times New Roman" w:cs="Times New Roman"/>
          <w:b/>
          <w:sz w:val="28"/>
          <w:szCs w:val="28"/>
        </w:rPr>
        <w:t>критериев оценки эффективности деятельности муниципальных бюджетных учреждений культуры Сергиевского сельского поселения</w:t>
      </w:r>
      <w:proofErr w:type="gramEnd"/>
      <w:r w:rsidRPr="00BA3AC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201</w:t>
      </w:r>
      <w:r w:rsidR="008004CC">
        <w:rPr>
          <w:rFonts w:ascii="Times New Roman" w:hAnsi="Times New Roman" w:cs="Times New Roman"/>
          <w:b/>
          <w:sz w:val="28"/>
          <w:szCs w:val="28"/>
        </w:rPr>
        <w:t>8</w:t>
      </w:r>
      <w:r w:rsidRPr="00BA3AC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CA" w:rsidRPr="00BA3ACA" w:rsidRDefault="00BA3ACA" w:rsidP="009B2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и улучшения качества управления финансовыми ресурсами муниципальных бюджетных учреждений культуры Сергиевского сельского поселения Кореновского района, для организации проведения оценки эффективности деятельности муниципальных бюджетных учреждений культуры за 201</w:t>
      </w:r>
      <w:r w:rsidR="008004CC">
        <w:rPr>
          <w:rFonts w:ascii="Times New Roman" w:hAnsi="Times New Roman" w:cs="Times New Roman"/>
          <w:sz w:val="28"/>
          <w:szCs w:val="28"/>
        </w:rPr>
        <w:t>8</w:t>
      </w:r>
      <w:r w:rsidRPr="00BA3ACA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Pr="00BA3A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AC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A3ACA" w:rsidRDefault="00BA3ACA" w:rsidP="009B22B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BA3ACA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CA">
        <w:rPr>
          <w:rFonts w:ascii="Times New Roman" w:hAnsi="Times New Roman" w:cs="Times New Roman"/>
          <w:sz w:val="28"/>
          <w:szCs w:val="28"/>
        </w:rPr>
        <w:t>оценки эффективности деятельности муниципального бюджетного учреждения культуры «Сергиевский 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CA">
        <w:rPr>
          <w:rFonts w:ascii="Times New Roman" w:hAnsi="Times New Roman" w:cs="Times New Roman"/>
          <w:sz w:val="28"/>
          <w:szCs w:val="28"/>
        </w:rPr>
        <w:t>и их контрольные значения на 201</w:t>
      </w:r>
      <w:r w:rsidR="008004CC">
        <w:rPr>
          <w:rFonts w:ascii="Times New Roman" w:hAnsi="Times New Roman" w:cs="Times New Roman"/>
          <w:sz w:val="28"/>
          <w:szCs w:val="28"/>
        </w:rPr>
        <w:t>8</w:t>
      </w:r>
      <w:r w:rsidRPr="00BA3A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BA3ACA" w:rsidRDefault="00BA3ACA" w:rsidP="009B22B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Критерии </w:t>
      </w:r>
      <w:proofErr w:type="gramStart"/>
      <w:r w:rsidRPr="00BA3ACA">
        <w:rPr>
          <w:rFonts w:ascii="Times New Roman" w:hAnsi="Times New Roman" w:cs="Times New Roman"/>
          <w:sz w:val="28"/>
          <w:szCs w:val="28"/>
        </w:rPr>
        <w:t>оценки эффективности деятельности муниципального бюджетного учреждения культуры Сергиевского сельского поселения</w:t>
      </w:r>
      <w:proofErr w:type="gramEnd"/>
      <w:r w:rsidRPr="00BA3ACA">
        <w:rPr>
          <w:rFonts w:ascii="Times New Roman" w:hAnsi="Times New Roman" w:cs="Times New Roman"/>
          <w:sz w:val="28"/>
          <w:szCs w:val="28"/>
        </w:rPr>
        <w:t xml:space="preserve"> Кореновского района        «Сергиевская  сельская библиотека» и их контрольные значения на 201</w:t>
      </w:r>
      <w:r w:rsidR="008004CC">
        <w:rPr>
          <w:rFonts w:cs="Times New Roman"/>
          <w:sz w:val="28"/>
          <w:szCs w:val="28"/>
        </w:rPr>
        <w:t>8</w:t>
      </w:r>
      <w:r w:rsidRPr="00BA3A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.</w:t>
      </w:r>
    </w:p>
    <w:p w:rsidR="00BA3ACA" w:rsidRDefault="00BA3ACA" w:rsidP="009B2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3.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3ACA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A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CA" w:rsidRDefault="00BA3ACA" w:rsidP="009B2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ACA">
        <w:rPr>
          <w:rFonts w:ascii="Times New Roman" w:hAnsi="Times New Roman" w:cs="Times New Roman"/>
          <w:sz w:val="28"/>
          <w:szCs w:val="28"/>
        </w:rPr>
        <w:t>постановление администрации Сергиевского сельского поселения Кореновского района от 2</w:t>
      </w:r>
      <w:r w:rsidR="008004CC">
        <w:rPr>
          <w:rFonts w:ascii="Times New Roman" w:hAnsi="Times New Roman" w:cs="Times New Roman"/>
          <w:sz w:val="28"/>
          <w:szCs w:val="28"/>
        </w:rPr>
        <w:t>7</w:t>
      </w:r>
      <w:r w:rsidRPr="00BA3ACA">
        <w:rPr>
          <w:rFonts w:ascii="Times New Roman" w:hAnsi="Times New Roman" w:cs="Times New Roman"/>
          <w:sz w:val="28"/>
          <w:szCs w:val="28"/>
        </w:rPr>
        <w:t xml:space="preserve"> </w:t>
      </w:r>
      <w:r w:rsidR="008004CC">
        <w:rPr>
          <w:rFonts w:ascii="Times New Roman" w:hAnsi="Times New Roman" w:cs="Times New Roman"/>
          <w:sz w:val="28"/>
          <w:szCs w:val="28"/>
        </w:rPr>
        <w:t>января</w:t>
      </w:r>
      <w:r w:rsidRPr="00BA3ACA">
        <w:rPr>
          <w:rFonts w:ascii="Times New Roman" w:hAnsi="Times New Roman" w:cs="Times New Roman"/>
          <w:sz w:val="28"/>
          <w:szCs w:val="28"/>
        </w:rPr>
        <w:t xml:space="preserve"> 201</w:t>
      </w:r>
      <w:r w:rsidR="008004CC">
        <w:rPr>
          <w:rFonts w:ascii="Times New Roman" w:hAnsi="Times New Roman" w:cs="Times New Roman"/>
          <w:sz w:val="28"/>
          <w:szCs w:val="28"/>
        </w:rPr>
        <w:t>7</w:t>
      </w:r>
      <w:r w:rsidRPr="00BA3AC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F0098">
        <w:rPr>
          <w:rFonts w:ascii="Times New Roman" w:hAnsi="Times New Roman" w:cs="Times New Roman"/>
          <w:sz w:val="28"/>
          <w:szCs w:val="28"/>
        </w:rPr>
        <w:t xml:space="preserve"> </w:t>
      </w:r>
      <w:r w:rsidR="008004CC">
        <w:rPr>
          <w:rFonts w:ascii="Times New Roman" w:hAnsi="Times New Roman" w:cs="Times New Roman"/>
          <w:sz w:val="28"/>
          <w:szCs w:val="28"/>
        </w:rPr>
        <w:t>18</w:t>
      </w:r>
      <w:r w:rsidRPr="00BA3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«Об утверждении </w:t>
      </w:r>
      <w:proofErr w:type="gramStart"/>
      <w:r w:rsidRPr="00BA3ACA">
        <w:rPr>
          <w:rFonts w:ascii="Times New Roman" w:hAnsi="Times New Roman" w:cs="Times New Roman"/>
          <w:sz w:val="28"/>
          <w:szCs w:val="28"/>
        </w:rPr>
        <w:t>критериев оценки эффективности деятельности муниципальных бюджетных учреждений культуры Сергиевского сельского поселения</w:t>
      </w:r>
      <w:proofErr w:type="gramEnd"/>
      <w:r w:rsidRPr="00BA3ACA">
        <w:rPr>
          <w:rFonts w:ascii="Times New Roman" w:hAnsi="Times New Roman" w:cs="Times New Roman"/>
          <w:sz w:val="28"/>
          <w:szCs w:val="28"/>
        </w:rPr>
        <w:t xml:space="preserve"> Кореновского района на 201</w:t>
      </w:r>
      <w:r w:rsidR="008004CC">
        <w:rPr>
          <w:rFonts w:ascii="Times New Roman" w:hAnsi="Times New Roman" w:cs="Times New Roman"/>
          <w:sz w:val="28"/>
          <w:szCs w:val="28"/>
        </w:rPr>
        <w:t>7</w:t>
      </w:r>
      <w:r w:rsidRPr="00BA3ACA">
        <w:rPr>
          <w:rFonts w:ascii="Times New Roman" w:hAnsi="Times New Roman" w:cs="Times New Roman"/>
          <w:sz w:val="28"/>
          <w:szCs w:val="28"/>
        </w:rPr>
        <w:t xml:space="preserve"> год»</w:t>
      </w:r>
      <w:r w:rsidR="008004CC">
        <w:rPr>
          <w:rFonts w:ascii="Times New Roman" w:hAnsi="Times New Roman" w:cs="Times New Roman"/>
          <w:sz w:val="28"/>
          <w:szCs w:val="28"/>
        </w:rPr>
        <w:t>.</w:t>
      </w:r>
    </w:p>
    <w:p w:rsidR="00BA3ACA" w:rsidRPr="00BA3ACA" w:rsidRDefault="00BA3ACA" w:rsidP="009B2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3ACA">
        <w:rPr>
          <w:rFonts w:ascii="Times New Roman" w:hAnsi="Times New Roman" w:cs="Times New Roman"/>
          <w:sz w:val="28"/>
          <w:szCs w:val="28"/>
        </w:rPr>
        <w:t>. Общему отделу администрации Сергиевского сельского 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Кирьян)</w:t>
      </w:r>
      <w:r w:rsidRPr="00BA3ACA">
        <w:rPr>
          <w:rFonts w:ascii="Times New Roman" w:hAnsi="Times New Roman" w:cs="Times New Roman"/>
          <w:sz w:val="28"/>
          <w:szCs w:val="28"/>
        </w:rPr>
        <w:t xml:space="preserve"> провести оценку </w:t>
      </w:r>
      <w:proofErr w:type="gramStart"/>
      <w:r w:rsidRPr="00BA3ACA">
        <w:rPr>
          <w:rFonts w:ascii="Times New Roman" w:hAnsi="Times New Roman" w:cs="Times New Roman"/>
          <w:sz w:val="28"/>
          <w:szCs w:val="28"/>
        </w:rPr>
        <w:t>эффективности деятельности подведомственных муниципальных бюджетных учреждений культуры Сергиевского сельского поселения</w:t>
      </w:r>
      <w:proofErr w:type="gramEnd"/>
      <w:r w:rsidRPr="00BA3ACA">
        <w:rPr>
          <w:rFonts w:ascii="Times New Roman" w:hAnsi="Times New Roman" w:cs="Times New Roman"/>
          <w:sz w:val="28"/>
          <w:szCs w:val="28"/>
        </w:rPr>
        <w:t xml:space="preserve"> Кореновского района за 201</w:t>
      </w:r>
      <w:r w:rsidR="008004CC">
        <w:rPr>
          <w:rFonts w:ascii="Times New Roman" w:hAnsi="Times New Roman" w:cs="Times New Roman"/>
          <w:sz w:val="28"/>
          <w:szCs w:val="28"/>
        </w:rPr>
        <w:t>8</w:t>
      </w:r>
      <w:r w:rsidRPr="00BA3ACA">
        <w:rPr>
          <w:rFonts w:ascii="Times New Roman" w:hAnsi="Times New Roman" w:cs="Times New Roman"/>
          <w:sz w:val="28"/>
          <w:szCs w:val="28"/>
        </w:rPr>
        <w:t xml:space="preserve"> год на основании критериев, утвержденных настоящим постановлением и их контрольных значений.</w:t>
      </w:r>
    </w:p>
    <w:p w:rsidR="00BA3ACA" w:rsidRPr="00BA3ACA" w:rsidRDefault="00BA3ACA" w:rsidP="009B22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3ACA">
        <w:rPr>
          <w:rFonts w:ascii="Times New Roman" w:eastAsia="Times New Roman" w:hAnsi="Times New Roman" w:cs="Times New Roman"/>
          <w:sz w:val="28"/>
          <w:szCs w:val="28"/>
        </w:rPr>
        <w:t>. Обнародовать     настоящее     постановление     в     специально установленных местах и разместить  в информационно   -    телекоммуникационной    сети «Интернет» на     официальном     сайте      администрации       Сергиевского сельского поселения.</w:t>
      </w:r>
    </w:p>
    <w:p w:rsidR="00BA3ACA" w:rsidRPr="00BA3ACA" w:rsidRDefault="00BA3ACA" w:rsidP="009B22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A3A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3A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AC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A3ACA" w:rsidRPr="00BA3ACA" w:rsidRDefault="00BA3ACA" w:rsidP="009B22BB">
      <w:pPr>
        <w:shd w:val="clear" w:color="auto" w:fill="FFFFFF"/>
        <w:tabs>
          <w:tab w:val="left" w:pos="567"/>
          <w:tab w:val="left" w:pos="8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6</w:t>
      </w:r>
      <w:r w:rsidRPr="00BA3ACA">
        <w:rPr>
          <w:rFonts w:ascii="Times New Roman" w:eastAsia="Times New Roman" w:hAnsi="Times New Roman" w:cs="Times New Roman"/>
          <w:spacing w:val="-3"/>
          <w:sz w:val="28"/>
          <w:szCs w:val="28"/>
        </w:rPr>
        <w:t>. Постановление вступает в силу со дня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его официального обнародования, распространяется на правоотношения, возникшие с 1 января 201</w:t>
      </w:r>
      <w:r w:rsidR="008004CC">
        <w:rPr>
          <w:rFonts w:ascii="Times New Roman" w:eastAsia="Times New Roman" w:hAnsi="Times New Roman" w:cs="Times New Roman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года.</w:t>
      </w:r>
    </w:p>
    <w:p w:rsidR="00BA3ACA" w:rsidRDefault="00BA3ACA" w:rsidP="00BA3ACA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9B22BB" w:rsidRDefault="009B22BB" w:rsidP="00BA3ACA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9B22BB" w:rsidRPr="00BA3ACA" w:rsidRDefault="009B22BB" w:rsidP="00BA3ACA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BA3ACA" w:rsidRPr="00BA3ACA" w:rsidRDefault="00BA3ACA" w:rsidP="00BA3ACA">
      <w:pPr>
        <w:pStyle w:val="a3"/>
        <w:spacing w:after="0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>Глава</w:t>
      </w:r>
    </w:p>
    <w:p w:rsidR="00BA3ACA" w:rsidRPr="00BA3ACA" w:rsidRDefault="00BA3ACA" w:rsidP="00BA3ACA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BA3ACA" w:rsidRPr="00BA3ACA" w:rsidRDefault="00BA3ACA" w:rsidP="00BA3ACA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 xml:space="preserve">Кореновского района                                                       </w:t>
      </w:r>
      <w:r>
        <w:rPr>
          <w:rFonts w:eastAsia="Times New Roman" w:cs="Times New Roman"/>
          <w:spacing w:val="-3"/>
          <w:sz w:val="28"/>
          <w:szCs w:val="28"/>
        </w:rPr>
        <w:t xml:space="preserve">                     </w:t>
      </w:r>
      <w:r w:rsidR="008004CC">
        <w:rPr>
          <w:rFonts w:eastAsia="Times New Roman" w:cs="Times New Roman"/>
          <w:spacing w:val="-3"/>
          <w:sz w:val="28"/>
          <w:szCs w:val="28"/>
        </w:rPr>
        <w:t>А.П. Мозговой</w:t>
      </w: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BB" w:rsidRDefault="009B22BB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4CC" w:rsidRDefault="008004CC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4CC" w:rsidRDefault="008004CC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4CC" w:rsidRDefault="008004CC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4CC" w:rsidRDefault="008004CC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4CC" w:rsidRDefault="008004CC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4CC" w:rsidRDefault="008004CC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C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Сергиевского сельского поселения </w:t>
      </w:r>
      <w:r w:rsidR="009B22BB">
        <w:rPr>
          <w:rFonts w:ascii="Times New Roman" w:hAnsi="Times New Roman" w:cs="Times New Roman"/>
          <w:sz w:val="28"/>
          <w:szCs w:val="28"/>
        </w:rPr>
        <w:t>от 27.</w:t>
      </w:r>
      <w:r w:rsidR="008004CC">
        <w:rPr>
          <w:rFonts w:ascii="Times New Roman" w:hAnsi="Times New Roman" w:cs="Times New Roman"/>
          <w:sz w:val="28"/>
          <w:szCs w:val="28"/>
        </w:rPr>
        <w:t>12</w:t>
      </w:r>
      <w:r w:rsidR="009B22BB">
        <w:rPr>
          <w:rFonts w:ascii="Times New Roman" w:hAnsi="Times New Roman" w:cs="Times New Roman"/>
          <w:sz w:val="28"/>
          <w:szCs w:val="28"/>
        </w:rPr>
        <w:t xml:space="preserve">.2017 № </w:t>
      </w:r>
      <w:r w:rsidR="008004CC">
        <w:rPr>
          <w:rFonts w:ascii="Times New Roman" w:hAnsi="Times New Roman" w:cs="Times New Roman"/>
          <w:sz w:val="28"/>
          <w:szCs w:val="28"/>
        </w:rPr>
        <w:t>154</w:t>
      </w:r>
      <w:r w:rsidR="009B22BB">
        <w:rPr>
          <w:rFonts w:ascii="Times New Roman" w:hAnsi="Times New Roman" w:cs="Times New Roman"/>
          <w:sz w:val="28"/>
          <w:szCs w:val="28"/>
        </w:rPr>
        <w:t xml:space="preserve"> </w:t>
      </w:r>
      <w:r w:rsidRPr="00BA3AC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BA3ACA">
        <w:rPr>
          <w:rFonts w:ascii="Times New Roman" w:hAnsi="Times New Roman" w:cs="Times New Roman"/>
          <w:sz w:val="28"/>
          <w:szCs w:val="28"/>
        </w:rPr>
        <w:t>критериев оценки эффективности деятельности муниципальных бюджетных учреждений культуры Сергиевского сельского поселения</w:t>
      </w:r>
      <w:proofErr w:type="gramEnd"/>
      <w:r w:rsidRPr="00BA3ACA">
        <w:rPr>
          <w:rFonts w:ascii="Times New Roman" w:hAnsi="Times New Roman" w:cs="Times New Roman"/>
          <w:sz w:val="28"/>
          <w:szCs w:val="28"/>
        </w:rPr>
        <w:t xml:space="preserve"> Кореновского района на 201</w:t>
      </w:r>
      <w:r w:rsidR="008004CC">
        <w:rPr>
          <w:rFonts w:ascii="Times New Roman" w:hAnsi="Times New Roman" w:cs="Times New Roman"/>
          <w:sz w:val="28"/>
          <w:szCs w:val="28"/>
        </w:rPr>
        <w:t>8</w:t>
      </w:r>
      <w:r w:rsidRPr="00BA3AC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     Л. Г. Бундюк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администрации Сергиевского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BA3ACA"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       </w:t>
      </w:r>
      <w:proofErr w:type="spellStart"/>
      <w:r w:rsidRPr="00BA3ACA">
        <w:rPr>
          <w:rFonts w:ascii="Times New Roman" w:hAnsi="Times New Roman" w:cs="Times New Roman"/>
          <w:sz w:val="28"/>
          <w:szCs w:val="28"/>
        </w:rPr>
        <w:t>Е.А.Рохманка</w:t>
      </w:r>
      <w:proofErr w:type="spellEnd"/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УТВЕРЖДЕНЫ</w:t>
      </w:r>
    </w:p>
    <w:p w:rsidR="00BA3ACA" w:rsidRPr="00BA3ACA" w:rsidRDefault="00BA3ACA" w:rsidP="00BA3AC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A3ACA" w:rsidRPr="00BA3ACA" w:rsidRDefault="00BA3ACA" w:rsidP="00BA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Сергиевского сельского поселения</w:t>
      </w:r>
    </w:p>
    <w:p w:rsidR="00BA3ACA" w:rsidRPr="00BA3ACA" w:rsidRDefault="00BA3ACA" w:rsidP="00BA3AC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Кореновского  района</w:t>
      </w:r>
    </w:p>
    <w:p w:rsidR="00BA3ACA" w:rsidRPr="00BA3ACA" w:rsidRDefault="00BA3ACA" w:rsidP="00BA3AC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A3A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</w:t>
      </w:r>
      <w:r w:rsidR="009B22BB">
        <w:rPr>
          <w:rFonts w:ascii="Times New Roman" w:eastAsia="Times New Roman" w:hAnsi="Times New Roman" w:cs="Times New Roman"/>
          <w:spacing w:val="-3"/>
          <w:sz w:val="28"/>
          <w:szCs w:val="28"/>
        </w:rPr>
        <w:t>27.</w:t>
      </w:r>
      <w:r w:rsidR="008004CC">
        <w:rPr>
          <w:rFonts w:ascii="Times New Roman" w:eastAsia="Times New Roman" w:hAnsi="Times New Roman" w:cs="Times New Roman"/>
          <w:spacing w:val="-3"/>
          <w:sz w:val="28"/>
          <w:szCs w:val="28"/>
        </w:rPr>
        <w:t>12</w:t>
      </w:r>
      <w:r w:rsidR="009B22BB">
        <w:rPr>
          <w:rFonts w:ascii="Times New Roman" w:eastAsia="Times New Roman" w:hAnsi="Times New Roman" w:cs="Times New Roman"/>
          <w:spacing w:val="-3"/>
          <w:sz w:val="28"/>
          <w:szCs w:val="28"/>
        </w:rPr>
        <w:t>.2017</w:t>
      </w:r>
      <w:r w:rsidRPr="00BA3A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г. № </w:t>
      </w:r>
      <w:r w:rsidR="009B22BB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8004CC">
        <w:rPr>
          <w:rFonts w:ascii="Times New Roman" w:eastAsia="Times New Roman" w:hAnsi="Times New Roman" w:cs="Times New Roman"/>
          <w:spacing w:val="-3"/>
          <w:sz w:val="28"/>
          <w:szCs w:val="28"/>
        </w:rPr>
        <w:t>54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A3ACA" w:rsidRPr="00BA3ACA" w:rsidRDefault="00BA3ACA" w:rsidP="00BA3AC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eastAsia="Times New Roman" w:hAnsi="Times New Roman" w:cs="Times New Roman"/>
          <w:spacing w:val="-3"/>
          <w:sz w:val="28"/>
          <w:szCs w:val="28"/>
        </w:rPr>
        <w:t>КРИТЕРИИ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</w:t>
      </w:r>
      <w:proofErr w:type="gramStart"/>
      <w:r w:rsidRPr="00BA3A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A3ACA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учреждения культуры «Сергиевский сельский дом культуры»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и их контрольные значения на 201</w:t>
      </w:r>
      <w:r w:rsidR="008004CC">
        <w:rPr>
          <w:rFonts w:ascii="Times New Roman" w:hAnsi="Times New Roman" w:cs="Times New Roman"/>
          <w:sz w:val="28"/>
          <w:szCs w:val="28"/>
        </w:rPr>
        <w:t>8</w:t>
      </w:r>
      <w:r w:rsidRPr="00BA3A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0"/>
        <w:gridCol w:w="5382"/>
        <w:gridCol w:w="2126"/>
        <w:gridCol w:w="1681"/>
        <w:gridCol w:w="10"/>
      </w:tblGrid>
      <w:tr w:rsidR="00BA3ACA" w:rsidRPr="00BA3ACA" w:rsidTr="009B22BB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eastAsia="Times New Roman" w:hAnsi="Times New Roman"/>
                <w:sz w:val="24"/>
              </w:rPr>
              <w:t xml:space="preserve">№ </w:t>
            </w:r>
            <w:proofErr w:type="gramStart"/>
            <w:r w:rsidRPr="009B22B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9B22B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Контрольное значение показателя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Удельный вес показателя, %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Количество культурно-массовых, зрелищных мероприятий досуговой направленности разных форм, ед.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016FED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72</w:t>
            </w:r>
            <w:r w:rsidR="00016FED">
              <w:rPr>
                <w:rFonts w:ascii="Times New Roman" w:hAnsi="Times New Roman"/>
                <w:sz w:val="24"/>
              </w:rPr>
              <w:t>5</w:t>
            </w:r>
            <w:bookmarkStart w:id="0" w:name="_GoBack"/>
            <w:bookmarkEnd w:id="0"/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Количество посетителей данных мероприятий, (тыс</w:t>
            </w:r>
            <w:proofErr w:type="gramStart"/>
            <w:r w:rsidRPr="009B22BB">
              <w:rPr>
                <w:rFonts w:ascii="Times New Roman" w:hAnsi="Times New Roman"/>
                <w:sz w:val="24"/>
              </w:rPr>
              <w:t>.ч</w:t>
            </w:r>
            <w:proofErr w:type="gramEnd"/>
            <w:r w:rsidRPr="009B22BB">
              <w:rPr>
                <w:rFonts w:ascii="Times New Roman" w:hAnsi="Times New Roman"/>
                <w:sz w:val="24"/>
              </w:rPr>
              <w:t>ел.)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016FED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36,</w:t>
            </w:r>
            <w:r w:rsidR="00016FE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Участие коллективов художественной самодеятельности в зональных, краевых, всероссийских фестивалях, смотрах, конкурсах, выставках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8714CF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Количество действующих творческих коллективов, ед.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016FED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Количество участников творческих коллективов, чел.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544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Доля средств от приносящей доход деятельности в общем объеме финансирования, %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Участие работников учреждения в обучающих семинарах, мастер - классах, творческих лабораториях, ед.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Отсутствие не устраненных нарушений (замечаний) по фактам нецелевого (неэффективного) использования муниципального имущества и средств муниципального бюджета, установленных в результате проверок деятельности учреждения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A3ACA" w:rsidRPr="00BA3ACA" w:rsidTr="00F97C70">
        <w:trPr>
          <w:gridAfter w:val="1"/>
          <w:wAfter w:w="10" w:type="dxa"/>
        </w:trPr>
        <w:tc>
          <w:tcPr>
            <w:tcW w:w="9779" w:type="dxa"/>
            <w:gridSpan w:val="4"/>
            <w:shd w:val="clear" w:color="auto" w:fill="auto"/>
          </w:tcPr>
          <w:p w:rsidR="00BA3ACA" w:rsidRPr="00BA3ACA" w:rsidRDefault="00BA3ACA" w:rsidP="00BA3ACA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ACA" w:rsidRPr="00BA3ACA" w:rsidRDefault="00BA3ACA" w:rsidP="00BA3AC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A3ACA" w:rsidRPr="00BA3ACA" w:rsidRDefault="00BA3ACA" w:rsidP="00BA3ACA">
      <w:pPr>
        <w:pStyle w:val="a3"/>
        <w:spacing w:after="0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>Глава</w:t>
      </w:r>
    </w:p>
    <w:p w:rsidR="00BA3ACA" w:rsidRPr="00BA3ACA" w:rsidRDefault="00BA3ACA" w:rsidP="00BA3ACA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BA3ACA" w:rsidRDefault="00BA3ACA" w:rsidP="009B22B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 xml:space="preserve">Кореновского района                                   </w:t>
      </w:r>
      <w:r w:rsidR="009B22BB">
        <w:rPr>
          <w:rFonts w:eastAsia="Times New Roman" w:cs="Times New Roman"/>
          <w:spacing w:val="-3"/>
          <w:sz w:val="28"/>
          <w:szCs w:val="28"/>
        </w:rPr>
        <w:t xml:space="preserve">                                    </w:t>
      </w:r>
      <w:r w:rsidR="008004CC">
        <w:rPr>
          <w:rFonts w:eastAsia="Times New Roman" w:cs="Times New Roman"/>
          <w:spacing w:val="-3"/>
          <w:sz w:val="28"/>
          <w:szCs w:val="28"/>
        </w:rPr>
        <w:t>А.П. Мозговой</w:t>
      </w:r>
    </w:p>
    <w:p w:rsidR="009B22BB" w:rsidRPr="00BA3ACA" w:rsidRDefault="009B22BB" w:rsidP="009B22BB">
      <w:pPr>
        <w:pStyle w:val="a3"/>
        <w:spacing w:after="0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ПРИЛОЖЕНИЕ №</w:t>
      </w:r>
      <w:r w:rsidR="009B22BB">
        <w:rPr>
          <w:rFonts w:ascii="Times New Roman" w:hAnsi="Times New Roman" w:cs="Times New Roman"/>
          <w:sz w:val="28"/>
          <w:szCs w:val="28"/>
        </w:rPr>
        <w:t xml:space="preserve"> </w:t>
      </w:r>
      <w:r w:rsidRPr="00BA3ACA">
        <w:rPr>
          <w:rFonts w:ascii="Times New Roman" w:hAnsi="Times New Roman" w:cs="Times New Roman"/>
          <w:sz w:val="28"/>
          <w:szCs w:val="28"/>
        </w:rPr>
        <w:t>2</w:t>
      </w: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УТВЕРЖДЕНЫ</w:t>
      </w:r>
    </w:p>
    <w:p w:rsidR="00BA3ACA" w:rsidRPr="00BA3ACA" w:rsidRDefault="00BA3ACA" w:rsidP="00BA3AC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A3ACA" w:rsidRPr="00BA3ACA" w:rsidRDefault="00BA3ACA" w:rsidP="00BA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Сергиевского сельского поселения</w:t>
      </w:r>
    </w:p>
    <w:p w:rsidR="00BA3ACA" w:rsidRPr="00BA3ACA" w:rsidRDefault="00BA3ACA" w:rsidP="00BA3AC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Кореновского  района</w:t>
      </w:r>
    </w:p>
    <w:p w:rsidR="00BA3ACA" w:rsidRPr="00BA3ACA" w:rsidRDefault="009B22BB" w:rsidP="00BA3AC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BA3ACA" w:rsidRPr="00BA3AC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27.</w:t>
      </w:r>
      <w:r w:rsidR="008004CC">
        <w:rPr>
          <w:rFonts w:ascii="Times New Roman" w:eastAsia="Times New Roman" w:hAnsi="Times New Roman" w:cs="Times New Roman"/>
          <w:spacing w:val="-3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BA3ACA" w:rsidRPr="00BA3A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2017г. № </w:t>
      </w:r>
      <w:r w:rsidR="008004CC">
        <w:rPr>
          <w:rFonts w:ascii="Times New Roman" w:eastAsia="Times New Roman" w:hAnsi="Times New Roman" w:cs="Times New Roman"/>
          <w:spacing w:val="-3"/>
          <w:sz w:val="28"/>
          <w:szCs w:val="28"/>
        </w:rPr>
        <w:t>154</w:t>
      </w:r>
    </w:p>
    <w:p w:rsidR="00BA3ACA" w:rsidRPr="00BA3ACA" w:rsidRDefault="00BA3ACA" w:rsidP="00BA3ACA">
      <w:pPr>
        <w:spacing w:after="0" w:line="240" w:lineRule="auto"/>
        <w:ind w:left="-119" w:firstLine="45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-119" w:firstLine="45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-119" w:firstLine="45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КРИТЕРИИ</w:t>
      </w:r>
    </w:p>
    <w:p w:rsidR="00BA3ACA" w:rsidRPr="00BA3ACA" w:rsidRDefault="00BA3ACA" w:rsidP="00BA3ACA">
      <w:pPr>
        <w:pStyle w:val="a3"/>
        <w:spacing w:after="0"/>
        <w:ind w:left="-119"/>
        <w:jc w:val="center"/>
        <w:rPr>
          <w:rFonts w:cs="Times New Roman"/>
          <w:sz w:val="28"/>
          <w:szCs w:val="28"/>
        </w:rPr>
      </w:pPr>
      <w:r w:rsidRPr="00BA3ACA">
        <w:rPr>
          <w:rFonts w:cs="Times New Roman"/>
          <w:sz w:val="28"/>
          <w:szCs w:val="28"/>
        </w:rPr>
        <w:t xml:space="preserve">оценки </w:t>
      </w:r>
      <w:proofErr w:type="gramStart"/>
      <w:r w:rsidRPr="00BA3ACA">
        <w:rPr>
          <w:rFonts w:cs="Times New Roman"/>
          <w:sz w:val="28"/>
          <w:szCs w:val="28"/>
        </w:rPr>
        <w:t>эффективности деятельности муниципального бюджетного учреждения культуры Сергиевского сельского поселения</w:t>
      </w:r>
      <w:proofErr w:type="gramEnd"/>
      <w:r w:rsidRPr="00BA3ACA">
        <w:rPr>
          <w:rFonts w:cs="Times New Roman"/>
          <w:sz w:val="28"/>
          <w:szCs w:val="28"/>
        </w:rPr>
        <w:t xml:space="preserve"> Кореновского района        «Сергиевская  сельская библиотека» и их контрольные значения на 201</w:t>
      </w:r>
      <w:r w:rsidR="008004CC">
        <w:rPr>
          <w:rFonts w:cs="Times New Roman"/>
          <w:sz w:val="28"/>
          <w:szCs w:val="28"/>
        </w:rPr>
        <w:t>8</w:t>
      </w:r>
      <w:r w:rsidRPr="00BA3ACA">
        <w:rPr>
          <w:rFonts w:cs="Times New Roman"/>
          <w:sz w:val="28"/>
          <w:szCs w:val="28"/>
        </w:rPr>
        <w:t xml:space="preserve"> год</w:t>
      </w:r>
    </w:p>
    <w:p w:rsidR="00BA3ACA" w:rsidRPr="00BA3ACA" w:rsidRDefault="00BA3ACA" w:rsidP="00BA3ACA">
      <w:pPr>
        <w:pStyle w:val="a3"/>
        <w:spacing w:after="0"/>
        <w:ind w:left="-119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9"/>
        <w:gridCol w:w="5597"/>
        <w:gridCol w:w="1984"/>
        <w:gridCol w:w="1680"/>
      </w:tblGrid>
      <w:tr w:rsidR="00BA3ACA" w:rsidRPr="00BA3ACA" w:rsidTr="009B22BB">
        <w:tc>
          <w:tcPr>
            <w:tcW w:w="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9B22B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9B22B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Контрольное значение показателя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Удельный вес показателя, %</w:t>
            </w:r>
          </w:p>
        </w:tc>
      </w:tr>
      <w:tr w:rsidR="00BA3ACA" w:rsidRPr="00BA3ACA" w:rsidTr="009B22BB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spellStart"/>
            <w:r w:rsidRPr="009B22BB">
              <w:rPr>
                <w:rFonts w:ascii="Times New Roman" w:hAnsi="Times New Roman"/>
                <w:sz w:val="24"/>
              </w:rPr>
              <w:t>документовыдач</w:t>
            </w:r>
            <w:proofErr w:type="spellEnd"/>
            <w:r w:rsidRPr="009B22BB">
              <w:rPr>
                <w:rFonts w:ascii="Times New Roman" w:hAnsi="Times New Roman"/>
                <w:sz w:val="24"/>
              </w:rPr>
              <w:t xml:space="preserve"> библиотеки, тыс. экз.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9522DD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BA3ACA" w:rsidRPr="00BA3ACA" w:rsidTr="009B22BB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Число читателей библиотеки, тыс. чел.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BA3ACA" w:rsidRPr="00BA3ACA" w:rsidTr="009B22BB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 xml:space="preserve">Количество мероприятий по методическому и консультационному обслуживанию библиотек, ед.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A3ACA" w:rsidRPr="00BA3ACA" w:rsidTr="009B22BB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Объем библиотечных фондов учреждения, экз.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9522DD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A3ACA" w:rsidRPr="00BA3ACA" w:rsidTr="009B22BB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Посещаемость библиотеки, тыс. чел.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21,5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A3ACA" w:rsidRPr="00BA3ACA" w:rsidTr="009B22BB">
        <w:tc>
          <w:tcPr>
            <w:tcW w:w="6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Количество разработанных библиографических, методических материалов, ед.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A3ACA" w:rsidRPr="00BA3ACA" w:rsidTr="009B22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Отсутствие обоснованных обращений (жалоб) потребителей  на качество предоставления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A3ACA" w:rsidRPr="00BA3ACA" w:rsidTr="009B22BB"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9B22BB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8</w:t>
            </w:r>
            <w:r w:rsidR="00BA3ACA" w:rsidRPr="009B22B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 xml:space="preserve">Доля средств </w:t>
            </w:r>
            <w:proofErr w:type="gramStart"/>
            <w:r w:rsidRPr="009B22BB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9B22B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9B22BB">
              <w:rPr>
                <w:rFonts w:ascii="Times New Roman" w:hAnsi="Times New Roman"/>
                <w:sz w:val="24"/>
              </w:rPr>
              <w:t>приносящий</w:t>
            </w:r>
            <w:proofErr w:type="gramEnd"/>
            <w:r w:rsidRPr="009B22BB">
              <w:rPr>
                <w:rFonts w:ascii="Times New Roman" w:hAnsi="Times New Roman"/>
                <w:sz w:val="24"/>
              </w:rPr>
              <w:t xml:space="preserve"> доход деятельности в общем объеме финансирования,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0,53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A3ACA" w:rsidRPr="00BA3ACA" w:rsidTr="009B22BB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Отсутствие не устраненных нарушений (замечаний) по фактам нецелевого (неэффективного) использования муниципального  имущества и средств</w:t>
            </w:r>
            <w:proofErr w:type="gramStart"/>
            <w:r w:rsidRPr="009B22BB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9B22BB">
              <w:rPr>
                <w:rFonts w:ascii="Times New Roman" w:hAnsi="Times New Roman"/>
                <w:sz w:val="24"/>
              </w:rPr>
              <w:t>муниципального бюджета, установленных в результате проверок деятельности учреждения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A3ACA" w:rsidRPr="00BA3ACA" w:rsidTr="009B22BB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BA3ACA" w:rsidRPr="00BA3ACA" w:rsidRDefault="00BA3ACA" w:rsidP="00BA3AC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pStyle w:val="a3"/>
        <w:spacing w:after="0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>Глава</w:t>
      </w:r>
    </w:p>
    <w:p w:rsidR="00BA3ACA" w:rsidRPr="00BA3ACA" w:rsidRDefault="00BA3ACA" w:rsidP="00BA3ACA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BA3ACA" w:rsidRPr="00BA3ACA" w:rsidRDefault="00BA3ACA" w:rsidP="00BA3ACA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 xml:space="preserve">Кореновского района                                                       </w:t>
      </w:r>
      <w:r w:rsidR="009B22BB">
        <w:rPr>
          <w:rFonts w:eastAsia="Times New Roman" w:cs="Times New Roman"/>
          <w:spacing w:val="-3"/>
          <w:sz w:val="28"/>
          <w:szCs w:val="28"/>
        </w:rPr>
        <w:t xml:space="preserve">           </w:t>
      </w:r>
      <w:r w:rsidR="008004CC">
        <w:rPr>
          <w:rFonts w:eastAsia="Times New Roman" w:cs="Times New Roman"/>
          <w:spacing w:val="-3"/>
          <w:sz w:val="28"/>
          <w:szCs w:val="28"/>
        </w:rPr>
        <w:t xml:space="preserve">      </w:t>
      </w:r>
      <w:r w:rsidR="009B22BB">
        <w:rPr>
          <w:rFonts w:eastAsia="Times New Roman" w:cs="Times New Roman"/>
          <w:spacing w:val="-3"/>
          <w:sz w:val="28"/>
          <w:szCs w:val="28"/>
        </w:rPr>
        <w:t xml:space="preserve"> </w:t>
      </w:r>
      <w:r w:rsidR="008004CC">
        <w:rPr>
          <w:rFonts w:eastAsia="Times New Roman" w:cs="Times New Roman"/>
          <w:spacing w:val="-3"/>
          <w:sz w:val="28"/>
          <w:szCs w:val="28"/>
        </w:rPr>
        <w:t>А.П. Мозговой</w:t>
      </w:r>
    </w:p>
    <w:p w:rsidR="00BA3ACA" w:rsidRPr="00BA3ACA" w:rsidRDefault="00BA3ACA" w:rsidP="00BA3ACA">
      <w:pPr>
        <w:pStyle w:val="1"/>
        <w:widowControl w:val="0"/>
        <w:spacing w:line="240" w:lineRule="auto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5978C7" w:rsidRPr="00BA3ACA" w:rsidRDefault="005978C7" w:rsidP="00BA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78C7" w:rsidRPr="00BA3ACA" w:rsidSect="0081328A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09D"/>
    <w:rsid w:val="00016FED"/>
    <w:rsid w:val="003F0098"/>
    <w:rsid w:val="005978C7"/>
    <w:rsid w:val="008004CC"/>
    <w:rsid w:val="008714CF"/>
    <w:rsid w:val="009522DD"/>
    <w:rsid w:val="009B22BB"/>
    <w:rsid w:val="00A9524A"/>
    <w:rsid w:val="00BA3ACA"/>
    <w:rsid w:val="00DB3AF1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609D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9609D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1">
    <w:name w:val="Без интервала1"/>
    <w:rsid w:val="00F9609D"/>
    <w:pPr>
      <w:suppressAutoHyphens/>
      <w:spacing w:after="0" w:line="100" w:lineRule="atLeast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F9609D"/>
    <w:pPr>
      <w:widowControl w:val="0"/>
      <w:suppressLineNumbers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ФинОтдел</cp:lastModifiedBy>
  <cp:revision>7</cp:revision>
  <dcterms:created xsi:type="dcterms:W3CDTF">2017-02-02T06:27:00Z</dcterms:created>
  <dcterms:modified xsi:type="dcterms:W3CDTF">2017-12-29T06:53:00Z</dcterms:modified>
</cp:coreProperties>
</file>