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0555" cy="788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44E95" w:rsidRDefault="00044E95" w:rsidP="0004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E95" w:rsidRDefault="00044E95" w:rsidP="0004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44E95" w:rsidRDefault="00044E95" w:rsidP="0004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E95" w:rsidRDefault="00044E95" w:rsidP="00044E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ноября 2017 года                                                                             № 134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21 ноября 2016 года № 158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ведомственной целевой </w:t>
      </w:r>
      <w:r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2017 год»</w:t>
      </w:r>
    </w:p>
    <w:p w:rsidR="00044E95" w:rsidRDefault="00044E95" w:rsidP="00044E95">
      <w:pPr>
        <w:spacing w:after="0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в л я ю: </w:t>
      </w:r>
    </w:p>
    <w:p w:rsidR="00044E95" w:rsidRDefault="00044E95" w:rsidP="00044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Сергиевского сельского поселения от 21 ноября 2016 года № 158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ведомственной целевой </w:t>
      </w:r>
      <w:r>
        <w:rPr>
          <w:rFonts w:ascii="Times New Roman" w:hAnsi="Times New Roman"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2017 год» следующие изменения:</w:t>
      </w: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proofErr w:type="gramStart"/>
      <w:r>
        <w:rPr>
          <w:rFonts w:ascii="Times New Roman" w:hAnsi="Times New Roman"/>
          <w:sz w:val="28"/>
          <w:szCs w:val="28"/>
        </w:rPr>
        <w:t>В паспорте ведомственной целевой программы  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 в разделе «Объем 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источники финансирования программы» внесены изменения, читать в новой редакции «4079980,00 рублей, из них местный бюджет — 1748780,00  руб., краевой бюджет 2331200,00 руб.»;</w:t>
      </w: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разделе 4 «Система программных мероприятий» в разделе 1 «Поэтапное повышение заработной платы работникам муниципальных </w:t>
      </w:r>
      <w:r>
        <w:rPr>
          <w:rFonts w:ascii="Times New Roman" w:hAnsi="Times New Roman"/>
          <w:sz w:val="28"/>
          <w:szCs w:val="28"/>
        </w:rPr>
        <w:lastRenderedPageBreak/>
        <w:t>учреждений до средней заработной платы по Краснодарскому краю»  сумма из краевого бюджета 2228200,00 руб. изменить на 2331200,00 руб.;</w:t>
      </w: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Раздел 5 «Ресурсное обеспечение» читать в новой редакции «Мероприятия Программы финансируются за счет средств бюджета Сергиевского сельского поселения Кореновского района на 2017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 Объем финансирования программы составил  4079980,00 рублей, из них местный бюджет — 1748780,00 руб., краевой бюджет 2331200,00 руб.</w:t>
      </w: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  Постановление  вступает в силу со дня его подписания.</w:t>
      </w: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4"/>
        <w:gridCol w:w="4106"/>
      </w:tblGrid>
      <w:tr w:rsidR="00044E95" w:rsidTr="00044E95">
        <w:tc>
          <w:tcPr>
            <w:tcW w:w="5527" w:type="dxa"/>
            <w:shd w:val="clear" w:color="auto" w:fill="FFFFFF"/>
          </w:tcPr>
          <w:p w:rsidR="00044E95" w:rsidRDefault="00044E95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044E95" w:rsidRDefault="00044E9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УТВЕРЖДЕНА</w:t>
            </w:r>
          </w:p>
          <w:p w:rsidR="00044E95" w:rsidRDefault="00044E9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044E95" w:rsidRDefault="00044E9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21 ноября 2016 г. № 158</w:t>
            </w:r>
          </w:p>
          <w:p w:rsidR="00044E95" w:rsidRDefault="00044E9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 ред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т28 ноября2017г. № 134  ) </w:t>
            </w:r>
          </w:p>
          <w:p w:rsidR="00044E95" w:rsidRDefault="00044E9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44E95" w:rsidRDefault="00044E95" w:rsidP="00044E95">
      <w:pPr>
        <w:spacing w:after="0"/>
        <w:jc w:val="center"/>
        <w:rPr>
          <w:rFonts w:ascii="Calibri" w:eastAsia="SimSun" w:hAnsi="Calibri"/>
          <w:kern w:val="2"/>
          <w:lang w:eastAsia="ar-SA"/>
        </w:rPr>
      </w:pP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</w:t>
      </w:r>
      <w:proofErr w:type="gramEnd"/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Сергиевского сельского поселения Кореновского района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 2016 года (в редакции от 28 ноября 2017 года)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44E95" w:rsidRDefault="00044E95" w:rsidP="00044E95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044E95" w:rsidRDefault="00044E95" w:rsidP="00044E95">
      <w:pPr>
        <w:ind w:firstLine="72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</w:t>
      </w:r>
      <w:proofErr w:type="gramEnd"/>
    </w:p>
    <w:tbl>
      <w:tblPr>
        <w:tblW w:w="0" w:type="auto"/>
        <w:tblInd w:w="137" w:type="dxa"/>
        <w:tblLayout w:type="fixed"/>
        <w:tblLook w:val="04A0"/>
      </w:tblPr>
      <w:tblGrid>
        <w:gridCol w:w="3840"/>
        <w:gridCol w:w="5457"/>
      </w:tblGrid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бюджетного планирования (главного распорядителя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Сергиевского сельского поселения)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Сергиевского сельского поселения Кореновского района</w:t>
            </w: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5457" w:type="dxa"/>
          </w:tcPr>
          <w:p w:rsidR="00044E95" w:rsidRDefault="00044E95">
            <w:pPr>
              <w:ind w:firstLine="720"/>
              <w:jc w:val="both"/>
              <w:rPr>
                <w:rFonts w:ascii="Calibri" w:eastAsia="SimSun" w:hAnsi="Calibri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</w:t>
            </w:r>
            <w:proofErr w:type="gramEnd"/>
          </w:p>
          <w:p w:rsidR="00044E95" w:rsidRDefault="00044E95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95" w:rsidTr="00044E95">
        <w:tc>
          <w:tcPr>
            <w:tcW w:w="3840" w:type="dxa"/>
            <w:vMerge w:val="restart"/>
          </w:tcPr>
          <w:p w:rsidR="00044E95" w:rsidRDefault="00044E95">
            <w:pPr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  <w:hideMark/>
          </w:tcPr>
          <w:p w:rsidR="00044E95" w:rsidRDefault="00044E9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044E95" w:rsidRDefault="00044E9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044E95" w:rsidRDefault="00044E95">
            <w:pPr>
              <w:pStyle w:val="a4"/>
            </w:pPr>
            <w:r>
              <w:t>2. Концентрация бюджетных средств на приоритетных направлениях в сфере культуры Сергиевского сельского поселения Кореновского района;</w:t>
            </w:r>
          </w:p>
          <w:p w:rsidR="00044E95" w:rsidRDefault="00044E95">
            <w:pPr>
              <w:pStyle w:val="a4"/>
              <w:rPr>
                <w:rFonts w:cs="Times New Roman"/>
                <w:spacing w:val="19"/>
              </w:rPr>
            </w:pPr>
            <w:r>
              <w:rPr>
                <w:rFonts w:cs="Times New Roman"/>
                <w:spacing w:val="19"/>
              </w:rPr>
              <w:t>3. Создание благоприятных условий для повышения качественного уровня кадрового потенциала.</w:t>
            </w:r>
          </w:p>
        </w:tc>
      </w:tr>
      <w:tr w:rsidR="00044E95" w:rsidTr="00044E95">
        <w:tc>
          <w:tcPr>
            <w:tcW w:w="3840" w:type="dxa"/>
            <w:vMerge/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57" w:type="dxa"/>
          </w:tcPr>
          <w:p w:rsidR="00044E95" w:rsidRDefault="00044E95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44E95" w:rsidRDefault="00044E95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афиш, информационных стендов, рекламных плакатов;</w:t>
            </w:r>
          </w:p>
          <w:p w:rsidR="00044E95" w:rsidRDefault="00044E95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-ежегодный анализ кадрового состояния отрасли культуры Сергиевского сельского поселения;</w:t>
            </w:r>
          </w:p>
          <w:p w:rsidR="00044E95" w:rsidRDefault="00044E95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044E95" w:rsidRDefault="00044E95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подготовки, переподготовки и повышения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конкурсах, семинарах, стажировках и конференциях;</w:t>
            </w:r>
          </w:p>
          <w:p w:rsidR="00044E95" w:rsidRDefault="00044E95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-софинансирование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бухгалтер, экономист), которым с 1 января 2017 года осуществляются денежные выплаты в размере 3000 рублей в месяц;</w:t>
            </w:r>
          </w:p>
          <w:p w:rsidR="00044E95" w:rsidRDefault="00044E95">
            <w:pPr>
              <w:suppressAutoHyphens/>
              <w:snapToGrid w:val="0"/>
              <w:spacing w:after="0" w:line="100" w:lineRule="atLeast"/>
              <w:ind w:left="12" w:right="-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получателей денежных выплат стимулирующего характера работников муниципальных учреждений культуры</w:t>
            </w:r>
            <w:proofErr w:type="gramEnd"/>
          </w:p>
          <w:p w:rsidR="00044E95" w:rsidRDefault="00044E95">
            <w:pPr>
              <w:suppressAutoHyphens/>
              <w:snapToGrid w:val="0"/>
              <w:spacing w:after="0" w:line="100" w:lineRule="atLeast"/>
              <w:ind w:left="12" w:right="-4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повышения средней заработной платы работников муниципальных учреждений отрасли культура.</w:t>
            </w: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реализации  программы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4079980,00 рублей, из них местный бюджет — 1748780,00  руб., краевой бюджет 2331200,00 руб.</w:t>
            </w:r>
          </w:p>
        </w:tc>
      </w:tr>
      <w:tr w:rsidR="00044E95" w:rsidTr="00044E95">
        <w:tc>
          <w:tcPr>
            <w:tcW w:w="3840" w:type="dxa"/>
            <w:hideMark/>
          </w:tcPr>
          <w:p w:rsidR="00044E95" w:rsidRDefault="00044E9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457" w:type="dxa"/>
            <w:hideMark/>
          </w:tcPr>
          <w:p w:rsidR="00044E95" w:rsidRDefault="00044E9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Расширение возможностей для приобщения населения поселения к культурным ценностям;</w:t>
            </w:r>
          </w:p>
          <w:p w:rsidR="00044E95" w:rsidRDefault="00044E9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Дальнейшее развитие любительского искусства и творчества среди населения;</w:t>
            </w:r>
          </w:p>
          <w:p w:rsidR="00044E95" w:rsidRDefault="00044E9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Разработка на основе </w:t>
            </w:r>
            <w:proofErr w:type="gramStart"/>
            <w:r>
              <w:rPr>
                <w:rFonts w:cs="Times New Roman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>
              <w:rPr>
                <w:rFonts w:cs="Times New Roman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044E95" w:rsidRDefault="00044E9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Создание благоприятных условий для повышения качественного уровня кадрового потенциала.</w:t>
            </w:r>
          </w:p>
        </w:tc>
      </w:tr>
    </w:tbl>
    <w:p w:rsidR="00044E95" w:rsidRDefault="00044E95" w:rsidP="00044E95">
      <w:pPr>
        <w:spacing w:after="0" w:line="100" w:lineRule="atLeast"/>
        <w:rPr>
          <w:rFonts w:ascii="Times New Roman" w:eastAsia="SimSun" w:hAnsi="Times New Roman"/>
          <w:b/>
          <w:bCs/>
          <w:iCs/>
          <w:kern w:val="2"/>
          <w:sz w:val="28"/>
          <w:szCs w:val="28"/>
          <w:lang w:eastAsia="ar-SA"/>
        </w:rPr>
      </w:pPr>
    </w:p>
    <w:p w:rsidR="00044E95" w:rsidRDefault="00044E95" w:rsidP="00044E95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Характеристика проблемы (задачи)</w:t>
      </w:r>
    </w:p>
    <w:p w:rsidR="00044E95" w:rsidRDefault="00044E95" w:rsidP="00044E95">
      <w:pPr>
        <w:spacing w:after="0" w:line="100" w:lineRule="atLeast"/>
        <w:rPr>
          <w:rFonts w:ascii="Times New Roman" w:hAnsi="Times New Roman"/>
          <w:iCs/>
          <w:sz w:val="28"/>
          <w:szCs w:val="28"/>
        </w:rPr>
      </w:pPr>
    </w:p>
    <w:p w:rsidR="00044E95" w:rsidRDefault="00044E95" w:rsidP="00044E95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Ведомственная целевая программа 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краю»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во исполнение постановления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08 декабря 2005 года № 740 «О федеральной целевой программе «Культура России (2006-2010 годы)», Закон Краснодарского края от 3 ноября 2000 года № 325-КЗ «О культуре»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ред. Законов Краснодарского края от 28.12.2004 № 818-КЗ, от 15.07.2005 №893-КЗ, от 27.03.2007 № 1221-КЗ), Закон Краснодарского края от 1 июля 2008 </w:t>
      </w:r>
      <w:r>
        <w:rPr>
          <w:rFonts w:ascii="Times New Roman" w:hAnsi="Times New Roman"/>
          <w:sz w:val="28"/>
          <w:szCs w:val="28"/>
        </w:rPr>
        <w:lastRenderedPageBreak/>
        <w:t>года №1516-КЗ «О краевой целевой программе «Культура Кубани (2009-2011 годы)»,  Постановление главы администрации (</w:t>
      </w:r>
      <w:proofErr w:type="gramStart"/>
      <w:r>
        <w:rPr>
          <w:rFonts w:ascii="Times New Roman" w:hAnsi="Times New Roman"/>
          <w:sz w:val="28"/>
          <w:szCs w:val="28"/>
        </w:rPr>
        <w:t>губернатора) Краснодарского края от 10 августа 2010 года № 671 «Об утверждении долгосрочной краевой целевой программы «Кадровое обеспечение сферы культуры и искусства Краснодарского края» на 2011-2012 годы» и является основным программным документом для муниципальных учреждений культуры, деятельность которых направлена на решение проблем по сохранению, созданию, распространению культурных ценностей в Сергиевском сельском поселении, а также по созданию благоприятных условий для повышения качественного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кадрового потенциала.</w:t>
      </w:r>
    </w:p>
    <w:p w:rsidR="00044E95" w:rsidRDefault="00044E95" w:rsidP="00044E95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Основные цели и задачи Программы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044E95" w:rsidRDefault="00044E95" w:rsidP="00044E9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</w:r>
    </w:p>
    <w:p w:rsidR="00044E95" w:rsidRDefault="00044E95" w:rsidP="00044E9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концентрация бюджетных средств на приоритетных направлениях в сфере культуры Сергиевского сельского поселения;</w:t>
      </w:r>
    </w:p>
    <w:p w:rsidR="00044E95" w:rsidRDefault="00044E95" w:rsidP="00044E95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повышения качественного уровня кадрового потенциала.</w:t>
      </w:r>
    </w:p>
    <w:p w:rsidR="00044E95" w:rsidRDefault="00044E95" w:rsidP="00044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основных целей Программы предусматривается решение следующих задач: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афиш, информационных стендов, рекламных плакатов;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анализ кадрового состояния отрасли культуры Сергиевского сельского поселения;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 основе </w:t>
      </w:r>
      <w:proofErr w:type="gramStart"/>
      <w:r>
        <w:rPr>
          <w:rFonts w:ascii="Times New Roman" w:hAnsi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подготовки, переподготовки и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 работников учреждений отрасли культуры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конкурсах, семинарах, стажировках и конференциях;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бухгалтер,экономист</w:t>
      </w:r>
      <w:proofErr w:type="spellEnd"/>
      <w:r>
        <w:rPr>
          <w:rFonts w:ascii="Times New Roman" w:hAnsi="Times New Roman"/>
          <w:sz w:val="28"/>
          <w:szCs w:val="28"/>
        </w:rPr>
        <w:t>) которым с 1 января 2017года осуществляются денежные выплаты в размере 3000 рублей в месяц;</w:t>
      </w:r>
    </w:p>
    <w:p w:rsidR="00044E95" w:rsidRDefault="00044E95" w:rsidP="00044E9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повышение заработной платы  работникам культуры 140,6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индикаторы</w:t>
      </w: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1595"/>
        <w:gridCol w:w="1596"/>
      </w:tblGrid>
      <w:tr w:rsidR="00044E95" w:rsidTr="00044E9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044E95" w:rsidTr="00044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044E95" w:rsidTr="00044E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культуры Сергиевского сельского поселения, получающих выплаты стимулирующего характера 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44E95" w:rsidTr="00044E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повышение уровня заработной платы работников муниципальных учреждений культуры Сергиевского сельского поселения Кореновского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26,8 к уровню 2012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27,7 к уровню 2012 года</w:t>
            </w:r>
          </w:p>
        </w:tc>
      </w:tr>
    </w:tbl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конечные результаты реализации программы и показатели социально-экономической эффективности</w:t>
      </w: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4E95" w:rsidRDefault="00044E95" w:rsidP="00044E9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 Расширение возможностей для приобщения населения поселения к культурным ценностям;</w:t>
      </w:r>
    </w:p>
    <w:p w:rsidR="00044E95" w:rsidRDefault="00044E95" w:rsidP="00044E9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2. Дальнейшее развитие любительского искусства и творчества среди населения;</w:t>
      </w:r>
    </w:p>
    <w:p w:rsidR="00044E95" w:rsidRDefault="00044E95" w:rsidP="00044E9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 Разработка на основе </w:t>
      </w:r>
      <w:proofErr w:type="gramStart"/>
      <w:r>
        <w:rPr>
          <w:rFonts w:cs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>
        <w:rPr>
          <w:rFonts w:cs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044E95" w:rsidRDefault="00044E95" w:rsidP="00044E9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4. Создание благоприятных условий для повышения качественного уровня кадрового потенциала.</w:t>
      </w: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95" w:rsidRDefault="00044E95" w:rsidP="00044E95">
      <w:pPr>
        <w:numPr>
          <w:ilvl w:val="0"/>
          <w:numId w:val="3"/>
        </w:numPr>
        <w:suppressAutoHyphens/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Система программных мероприятий</w:t>
      </w:r>
    </w:p>
    <w:p w:rsidR="00044E95" w:rsidRDefault="00044E95" w:rsidP="00044E95">
      <w:pPr>
        <w:spacing w:after="0" w:line="100" w:lineRule="atLeast"/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программных мероприятий</w:t>
      </w:r>
    </w:p>
    <w:p w:rsidR="00044E95" w:rsidRDefault="00044E95" w:rsidP="00044E95">
      <w:pPr>
        <w:spacing w:after="0" w:line="100" w:lineRule="atLeast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3099"/>
        <w:gridCol w:w="1291"/>
        <w:gridCol w:w="2135"/>
        <w:gridCol w:w="1080"/>
        <w:gridCol w:w="1620"/>
      </w:tblGrid>
      <w:tr w:rsidR="00044E95" w:rsidTr="00044E95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Объемы финансирования, всего 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заказчик</w:t>
            </w:r>
          </w:p>
        </w:tc>
      </w:tr>
      <w:tr w:rsidR="00044E95" w:rsidTr="00044E95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Поэтапное повышение заработной платы работникам муниципальных учреждений до средней </w:t>
            </w:r>
            <w:r>
              <w:rPr>
                <w:rFonts w:cs="Times New Roman"/>
              </w:rPr>
              <w:lastRenderedPageBreak/>
              <w:t>заработной платы по Краснодарскому краю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Местный бюджет</w:t>
            </w:r>
          </w:p>
          <w:p w:rsidR="00044E95" w:rsidRDefault="00044E95">
            <w:pPr>
              <w:pStyle w:val="a4"/>
              <w:rPr>
                <w:rFonts w:cs="Times New Roman"/>
              </w:rPr>
            </w:pP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1748780,00 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Ежемесячно в течение 2017г.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Сергиевского сельского </w:t>
            </w:r>
            <w:r>
              <w:rPr>
                <w:rFonts w:cs="Times New Roman"/>
              </w:rPr>
              <w:lastRenderedPageBreak/>
              <w:t>поселения Кореновского района</w:t>
            </w:r>
          </w:p>
        </w:tc>
      </w:tr>
      <w:tr w:rsidR="00044E95" w:rsidTr="00044E95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4E95" w:rsidRDefault="00044E9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2331200,00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E95" w:rsidRDefault="00044E95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Ежемесячно в течение 2017г.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4E95" w:rsidRDefault="00044E95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44E95" w:rsidRDefault="00044E95" w:rsidP="00044E95">
      <w:pPr>
        <w:spacing w:after="0" w:line="100" w:lineRule="atLeas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Мероприятия Программы финансируются за счет средств бюджета Сергиевского сельского поселения Кореновского района на 2017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 Объем финансирования программы составил  4079980,00 рублей, из них местный бюджет — 1748780,00 руб., краевой бюджет 2331200,00 руб.</w:t>
      </w: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поселения.</w:t>
      </w: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5"/>
        <w:tblW w:w="0" w:type="auto"/>
        <w:tblInd w:w="0" w:type="dxa"/>
        <w:tblLook w:val="01E0"/>
      </w:tblPr>
      <w:tblGrid>
        <w:gridCol w:w="4575"/>
        <w:gridCol w:w="1356"/>
        <w:gridCol w:w="1356"/>
        <w:gridCol w:w="1142"/>
        <w:gridCol w:w="1142"/>
      </w:tblGrid>
      <w:tr w:rsidR="00044E95" w:rsidTr="00044E95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Объемы финансирования,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44E95" w:rsidTr="00044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5" w:rsidRDefault="00044E95">
            <w:pPr>
              <w:suppressAutoHyphens w:val="0"/>
              <w:spacing w:after="0" w:line="240" w:lineRule="auto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2-ой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3-й год</w:t>
            </w: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2331200,00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2331200,00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1748780,00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1748780,00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044E95" w:rsidTr="00044E95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4079980,00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4079980,00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5" w:rsidRDefault="00044E95">
            <w:pPr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44E95" w:rsidRDefault="00044E95" w:rsidP="00044E9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44E95" w:rsidRDefault="00044E95" w:rsidP="00044E9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044E95" w:rsidRDefault="00044E95" w:rsidP="00044E9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44E95" w:rsidRDefault="00044E95" w:rsidP="00044E9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осуществляет общий отдел администрации Сергиевского сельского поселения.</w:t>
      </w:r>
    </w:p>
    <w:p w:rsidR="00044E95" w:rsidRDefault="00044E95" w:rsidP="00044E9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района.</w:t>
      </w:r>
    </w:p>
    <w:p w:rsidR="00044E95" w:rsidRDefault="00044E95" w:rsidP="00044E9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E95" w:rsidRDefault="00044E95" w:rsidP="00044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Оценка эффективности реализации ведомственной целевой программы </w:t>
      </w:r>
    </w:p>
    <w:p w:rsidR="00044E95" w:rsidRDefault="00044E95" w:rsidP="00044E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4E95" w:rsidRDefault="00044E95" w:rsidP="00044E9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Последовательная реализация Программы позволит:</w:t>
      </w:r>
    </w:p>
    <w:p w:rsidR="00044E95" w:rsidRDefault="00044E95" w:rsidP="00044E9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сохранить и пополнить кадровый потенциал в сфере культуры;</w:t>
      </w:r>
    </w:p>
    <w:p w:rsidR="00044E95" w:rsidRDefault="00044E95" w:rsidP="00044E9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044E95" w:rsidRDefault="00044E95" w:rsidP="00044E9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Главным результатом реализации Программы станет формирование благоприятной общественной атмосферы на территории поселения.</w:t>
      </w:r>
    </w:p>
    <w:p w:rsidR="00044E95" w:rsidRDefault="00044E95" w:rsidP="00044E9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</w:p>
    <w:p w:rsidR="00044E95" w:rsidRDefault="00044E95" w:rsidP="00044E95">
      <w:pPr>
        <w:rPr>
          <w:rFonts w:cs="Times New Roman"/>
        </w:rPr>
      </w:pPr>
    </w:p>
    <w:p w:rsidR="00044E95" w:rsidRDefault="00044E95" w:rsidP="00044E95">
      <w:pPr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044E95" w:rsidRDefault="00044E95" w:rsidP="00044E9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044E95" w:rsidRDefault="00044E95" w:rsidP="00044E9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044E95" w:rsidRDefault="00044E95" w:rsidP="00044E95">
      <w:pPr>
        <w:rPr>
          <w:rFonts w:ascii="Calibri" w:hAnsi="Calibri"/>
        </w:rPr>
      </w:pPr>
    </w:p>
    <w:p w:rsidR="003F0266" w:rsidRDefault="003F0266"/>
    <w:sectPr w:rsidR="003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A042D9C"/>
    <w:multiLevelType w:val="hybridMultilevel"/>
    <w:tmpl w:val="CB4CC30E"/>
    <w:lvl w:ilvl="0" w:tplc="6D0826E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4E95"/>
    <w:rsid w:val="00044E95"/>
    <w:rsid w:val="003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44E95"/>
    <w:pPr>
      <w:numPr>
        <w:numId w:val="2"/>
      </w:numPr>
      <w:suppressAutoHyphens/>
      <w:spacing w:before="108" w:after="108" w:line="100" w:lineRule="atLeast"/>
      <w:jc w:val="center"/>
      <w:outlineLvl w:val="0"/>
    </w:pPr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4E95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044E95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044E95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table" w:styleId="a5">
    <w:name w:val="Table Grid"/>
    <w:basedOn w:val="a2"/>
    <w:rsid w:val="00044E9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044E9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44E95"/>
  </w:style>
  <w:style w:type="paragraph" w:styleId="a7">
    <w:name w:val="Balloon Text"/>
    <w:basedOn w:val="a"/>
    <w:link w:val="a8"/>
    <w:uiPriority w:val="99"/>
    <w:semiHidden/>
    <w:unhideWhenUsed/>
    <w:rsid w:val="000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4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2182</Words>
  <Characters>12440</Characters>
  <Application>Microsoft Office Word</Application>
  <DocSecurity>0</DocSecurity>
  <Lines>103</Lines>
  <Paragraphs>29</Paragraphs>
  <ScaleCrop>false</ScaleCrop>
  <Company>Organization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2017-11-30T08:45:00Z</dcterms:created>
  <dcterms:modified xsi:type="dcterms:W3CDTF">2017-11-30T08:49:00Z</dcterms:modified>
</cp:coreProperties>
</file>